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D259B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8217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573"/>
        <w:gridCol w:w="599"/>
        <w:gridCol w:w="1108"/>
        <w:gridCol w:w="842"/>
        <w:gridCol w:w="729"/>
        <w:gridCol w:w="794"/>
        <w:gridCol w:w="520"/>
        <w:gridCol w:w="938"/>
        <w:gridCol w:w="1284"/>
      </w:tblGrid>
      <w:tr w14:paraId="02BD6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</w:trPr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14:paraId="764C191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97BB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122" w:type="dxa"/>
            <w:gridSpan w:val="4"/>
            <w:tcBorders>
              <w:tl2br w:val="nil"/>
              <w:tr2bl w:val="nil"/>
            </w:tcBorders>
            <w:vAlign w:val="center"/>
          </w:tcPr>
          <w:p w14:paraId="1BC28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康康——一个孤独症孩子的成长台阶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11FCC2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23945D3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2742" w:type="dxa"/>
            <w:gridSpan w:val="3"/>
            <w:tcBorders>
              <w:tl2br w:val="nil"/>
              <w:tr2bl w:val="nil"/>
            </w:tcBorders>
            <w:vAlign w:val="center"/>
          </w:tcPr>
          <w:p w14:paraId="0D2EC513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深度报道（集纳）</w:t>
            </w:r>
          </w:p>
        </w:tc>
      </w:tr>
      <w:tr w14:paraId="75259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830" w:type="dxa"/>
            <w:vMerge w:val="restart"/>
            <w:tcBorders>
              <w:tl2br w:val="nil"/>
              <w:tr2bl w:val="nil"/>
            </w:tcBorders>
            <w:vAlign w:val="center"/>
          </w:tcPr>
          <w:p w14:paraId="58CBD16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AC35CB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122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54FE3DCC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2790字；2444字；2512字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19420F3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742" w:type="dxa"/>
            <w:gridSpan w:val="3"/>
            <w:tcBorders>
              <w:tl2br w:val="nil"/>
              <w:tr2bl w:val="nil"/>
            </w:tcBorders>
            <w:vAlign w:val="center"/>
          </w:tcPr>
          <w:p w14:paraId="1CD72744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新闻特写</w:t>
            </w:r>
          </w:p>
        </w:tc>
      </w:tr>
      <w:tr w14:paraId="3C2EB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30" w:type="dxa"/>
            <w:vMerge w:val="continue"/>
            <w:tcBorders>
              <w:tl2br w:val="nil"/>
              <w:tr2bl w:val="nil"/>
            </w:tcBorders>
            <w:vAlign w:val="center"/>
          </w:tcPr>
          <w:p w14:paraId="5CCEBB1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12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319B0E03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56583F3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742" w:type="dxa"/>
            <w:gridSpan w:val="3"/>
            <w:tcBorders>
              <w:tl2br w:val="nil"/>
              <w:tr2bl w:val="nil"/>
            </w:tcBorders>
            <w:vAlign w:val="center"/>
          </w:tcPr>
          <w:p w14:paraId="325B060C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中文</w:t>
            </w:r>
          </w:p>
        </w:tc>
      </w:tr>
      <w:tr w14:paraId="27FC4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14:paraId="1DC5980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203CABF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122" w:type="dxa"/>
            <w:gridSpan w:val="4"/>
            <w:tcBorders>
              <w:tl2br w:val="nil"/>
              <w:tr2bl w:val="nil"/>
            </w:tcBorders>
            <w:vAlign w:val="center"/>
          </w:tcPr>
          <w:p w14:paraId="2BD529C3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文丽娟、周斌、陈磊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180642D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2742" w:type="dxa"/>
            <w:gridSpan w:val="3"/>
            <w:tcBorders>
              <w:tl2br w:val="nil"/>
              <w:tr2bl w:val="nil"/>
            </w:tcBorders>
            <w:vAlign w:val="center"/>
          </w:tcPr>
          <w:p w14:paraId="6FDBB09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孙天骄、张守坤</w:t>
            </w:r>
          </w:p>
        </w:tc>
      </w:tr>
      <w:tr w14:paraId="362EF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14:paraId="33B085C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64D2373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122" w:type="dxa"/>
            <w:gridSpan w:val="4"/>
            <w:tcBorders>
              <w:tl2br w:val="nil"/>
              <w:tr2bl w:val="nil"/>
            </w:tcBorders>
            <w:vAlign w:val="center"/>
          </w:tcPr>
          <w:p w14:paraId="16715685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14:paraId="34A31064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5C042CAF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2742" w:type="dxa"/>
            <w:gridSpan w:val="3"/>
            <w:tcBorders>
              <w:tl2br w:val="nil"/>
              <w:tr2bl w:val="nil"/>
            </w:tcBorders>
            <w:vAlign w:val="center"/>
          </w:tcPr>
          <w:p w14:paraId="53E0F1A5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</w:tr>
      <w:tr w14:paraId="25B0DA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</w:trPr>
        <w:tc>
          <w:tcPr>
            <w:tcW w:w="1403" w:type="dxa"/>
            <w:gridSpan w:val="2"/>
            <w:tcBorders>
              <w:tl2br w:val="nil"/>
              <w:tr2bl w:val="nil"/>
            </w:tcBorders>
            <w:vAlign w:val="center"/>
          </w:tcPr>
          <w:p w14:paraId="0AB9988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280C2AD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2549" w:type="dxa"/>
            <w:gridSpan w:val="3"/>
            <w:tcBorders>
              <w:tl2br w:val="nil"/>
              <w:tr2bl w:val="nil"/>
            </w:tcBorders>
            <w:vAlign w:val="center"/>
          </w:tcPr>
          <w:p w14:paraId="32AFBE2F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法治经纬；4版</w:t>
            </w:r>
          </w:p>
        </w:tc>
        <w:tc>
          <w:tcPr>
            <w:tcW w:w="729" w:type="dxa"/>
            <w:tcBorders>
              <w:tl2br w:val="nil"/>
              <w:tr2bl w:val="nil"/>
            </w:tcBorders>
            <w:vAlign w:val="center"/>
          </w:tcPr>
          <w:p w14:paraId="5358052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3536" w:type="dxa"/>
            <w:gridSpan w:val="4"/>
            <w:tcBorders>
              <w:tl2br w:val="nil"/>
              <w:tr2bl w:val="nil"/>
            </w:tcBorders>
            <w:vAlign w:val="center"/>
          </w:tcPr>
          <w:p w14:paraId="49EB8155">
            <w:pPr>
              <w:spacing w:line="260" w:lineRule="exact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2025年6月3日；</w:t>
            </w:r>
          </w:p>
          <w:p w14:paraId="2EAB49C9">
            <w:pPr>
              <w:spacing w:line="260" w:lineRule="exact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2025年7月16日；</w:t>
            </w:r>
          </w:p>
          <w:p w14:paraId="54F26022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2025年9月18日</w:t>
            </w:r>
          </w:p>
        </w:tc>
      </w:tr>
      <w:tr w14:paraId="19824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2" w:hRule="atLeast"/>
        </w:trPr>
        <w:tc>
          <w:tcPr>
            <w:tcW w:w="1403" w:type="dxa"/>
            <w:gridSpan w:val="2"/>
            <w:tcBorders>
              <w:tl2br w:val="nil"/>
              <w:tr2bl w:val="nil"/>
            </w:tcBorders>
            <w:vAlign w:val="center"/>
          </w:tcPr>
          <w:p w14:paraId="3FC5CA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2D31A85E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4072" w:type="dxa"/>
            <w:gridSpan w:val="5"/>
            <w:tcBorders>
              <w:tl2br w:val="nil"/>
              <w:tr2bl w:val="nil"/>
            </w:tcBorders>
            <w:vAlign w:val="center"/>
          </w:tcPr>
          <w:p w14:paraId="58AF7B06">
            <w:pPr>
              <w:pStyle w:val="9"/>
              <w:spacing w:before="130" w:line="230" w:lineRule="auto"/>
              <w:ind w:left="123" w:right="103" w:hanging="4"/>
              <w:jc w:val="lef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fldChar w:fldCharType="begin"/>
            </w:r>
            <w:r>
              <w:rPr>
                <w:rFonts w:hint="eastAsia"/>
                <w:kern w:val="0"/>
                <w:sz w:val="21"/>
                <w:szCs w:val="21"/>
              </w:rPr>
              <w:instrText xml:space="preserve"> HYPERLINK "http://epaper.legaldaily.com.cn/fzrb/content/20250603/Page04TB.htm" </w:instrText>
            </w:r>
            <w:r>
              <w:rPr>
                <w:rFonts w:hint="eastAsia"/>
                <w:kern w:val="0"/>
                <w:sz w:val="21"/>
                <w:szCs w:val="21"/>
              </w:rPr>
              <w:fldChar w:fldCharType="separate"/>
            </w:r>
            <w:r>
              <w:rPr>
                <w:rStyle w:val="7"/>
                <w:rFonts w:hint="eastAsia"/>
                <w:kern w:val="0"/>
                <w:sz w:val="21"/>
                <w:szCs w:val="21"/>
              </w:rPr>
              <w:t>http://epaper.legaldaily.com.cn/fzrb/content/20250603/Page04TB.htm</w:t>
            </w:r>
            <w:r>
              <w:rPr>
                <w:rFonts w:hint="eastAsia"/>
                <w:kern w:val="0"/>
                <w:sz w:val="21"/>
                <w:szCs w:val="21"/>
              </w:rPr>
              <w:fldChar w:fldCharType="end"/>
            </w:r>
          </w:p>
          <w:p w14:paraId="532FEFC9">
            <w:pPr>
              <w:pStyle w:val="9"/>
              <w:spacing w:before="130" w:line="230" w:lineRule="auto"/>
              <w:ind w:left="123" w:right="103" w:hanging="4"/>
              <w:jc w:val="lef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fldChar w:fldCharType="begin"/>
            </w:r>
            <w:r>
              <w:rPr>
                <w:rFonts w:hint="eastAsia"/>
                <w:kern w:val="0"/>
                <w:sz w:val="21"/>
                <w:szCs w:val="21"/>
              </w:rPr>
              <w:instrText xml:space="preserve"> HYPERLINK "http://epaper.legaldaily.com.cn/fzrb/content/20250716/Page04TB.htm" </w:instrText>
            </w:r>
            <w:r>
              <w:rPr>
                <w:rFonts w:hint="eastAsia"/>
                <w:kern w:val="0"/>
                <w:sz w:val="21"/>
                <w:szCs w:val="21"/>
              </w:rPr>
              <w:fldChar w:fldCharType="separate"/>
            </w:r>
            <w:r>
              <w:rPr>
                <w:rStyle w:val="6"/>
                <w:rFonts w:hint="eastAsia"/>
                <w:kern w:val="0"/>
                <w:sz w:val="21"/>
                <w:szCs w:val="21"/>
              </w:rPr>
              <w:t>http://epaper.legaldaily.com.cn/fzrb/content/20250716/Page04TB.htm</w:t>
            </w:r>
            <w:r>
              <w:rPr>
                <w:rFonts w:hint="eastAsia"/>
                <w:kern w:val="0"/>
                <w:sz w:val="21"/>
                <w:szCs w:val="21"/>
              </w:rPr>
              <w:fldChar w:fldCharType="end"/>
            </w:r>
          </w:p>
          <w:p w14:paraId="26FE6FEE">
            <w:pPr>
              <w:pStyle w:val="9"/>
              <w:spacing w:before="130" w:line="230" w:lineRule="auto"/>
              <w:ind w:left="123" w:right="103" w:hanging="4"/>
              <w:jc w:val="lef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fldChar w:fldCharType="begin"/>
            </w:r>
            <w:r>
              <w:rPr>
                <w:rFonts w:hint="eastAsia"/>
                <w:kern w:val="0"/>
                <w:sz w:val="21"/>
                <w:szCs w:val="21"/>
              </w:rPr>
              <w:instrText xml:space="preserve"> HYPERLINK "http://epaper.legaldaily.com.cn/fzrb/content/20250918/Page04TB.htm" </w:instrText>
            </w:r>
            <w:r>
              <w:rPr>
                <w:rFonts w:hint="eastAsia"/>
                <w:kern w:val="0"/>
                <w:sz w:val="21"/>
                <w:szCs w:val="21"/>
              </w:rPr>
              <w:fldChar w:fldCharType="separate"/>
            </w:r>
            <w:r>
              <w:rPr>
                <w:rStyle w:val="6"/>
                <w:rFonts w:hint="eastAsia"/>
                <w:kern w:val="0"/>
                <w:sz w:val="21"/>
                <w:szCs w:val="21"/>
              </w:rPr>
              <w:t>http://epaper.legaldail</w:t>
            </w:r>
            <w:bookmarkStart w:id="0" w:name="_GoBack"/>
            <w:bookmarkEnd w:id="0"/>
            <w:r>
              <w:rPr>
                <w:rStyle w:val="6"/>
                <w:rFonts w:hint="eastAsia"/>
                <w:kern w:val="0"/>
                <w:sz w:val="21"/>
                <w:szCs w:val="21"/>
              </w:rPr>
              <w:t>y.com.cn/fzrb/content/20250918/Page04TB.htm</w:t>
            </w:r>
            <w:r>
              <w:rPr>
                <w:rFonts w:hint="eastAsia"/>
                <w:kern w:val="0"/>
                <w:sz w:val="21"/>
                <w:szCs w:val="21"/>
              </w:rPr>
              <w:fldChar w:fldCharType="end"/>
            </w:r>
          </w:p>
          <w:p w14:paraId="662F7E15">
            <w:pPr>
              <w:pStyle w:val="9"/>
              <w:spacing w:before="130" w:line="230" w:lineRule="auto"/>
              <w:ind w:left="123" w:right="103" w:hanging="4"/>
              <w:jc w:val="left"/>
              <w:rPr>
                <w:rFonts w:hint="eastAsia"/>
                <w:kern w:val="0"/>
                <w:sz w:val="21"/>
                <w:szCs w:val="21"/>
              </w:rPr>
            </w:pPr>
          </w:p>
        </w:tc>
        <w:tc>
          <w:tcPr>
            <w:tcW w:w="1458" w:type="dxa"/>
            <w:gridSpan w:val="2"/>
            <w:tcBorders>
              <w:tl2br w:val="nil"/>
              <w:tr2bl w:val="nil"/>
            </w:tcBorders>
            <w:vAlign w:val="center"/>
          </w:tcPr>
          <w:p w14:paraId="332F80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5D92CEB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vAlign w:val="center"/>
          </w:tcPr>
          <w:p w14:paraId="05832B70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2082D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</w:trPr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14:paraId="19080EF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79280A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541FFB5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7B81F31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7387" w:type="dxa"/>
            <w:gridSpan w:val="9"/>
            <w:tcBorders>
              <w:tl2br w:val="nil"/>
              <w:tr2bl w:val="nil"/>
            </w:tcBorders>
            <w:vAlign w:val="center"/>
          </w:tcPr>
          <w:p w14:paraId="731A1248">
            <w:pPr>
              <w:spacing w:line="26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该组报道以孤独症儿童“康康”及其家庭为切入点，记者通过历时数月的沉浸式跟踪采访，真实记录了一名6岁孤独症儿童在康复训练、入园入学、康复评估等方面面临的重重困境。</w:t>
            </w:r>
          </w:p>
          <w:p w14:paraId="000250D7">
            <w:pPr>
              <w:spacing w:line="26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报道通过鲜活感人的故事叙述，系统揭示了孤独症群体在“全生命周期”中所遭遇的康复资源短缺、教育融合难、社会保障不足等结构性难题。报道既呈现个体命运的温度，也推动公共议题的讨论，体现了法治媒体在推动社会公平与进步中的责任担当。</w:t>
            </w:r>
          </w:p>
          <w:p w14:paraId="15979091">
            <w:pPr>
              <w:spacing w:line="260" w:lineRule="exact"/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该组报道的社会反响强烈，在《法治日报》及其新媒体平台发布后，单篇微信公众号阅读量均突破“10万+”，引起相关残联、教育、卫健等部门高度重视，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相关部门就报道中反映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的“康复评估难”“融合教育支持不足”“特教助理费用高昂”等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问题展开调研，推动政策优化与服务改进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。</w:t>
            </w:r>
          </w:p>
        </w:tc>
      </w:tr>
      <w:tr w14:paraId="05831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</w:trPr>
        <w:tc>
          <w:tcPr>
            <w:tcW w:w="830" w:type="dxa"/>
            <w:vMerge w:val="restart"/>
            <w:tcBorders>
              <w:tl2br w:val="nil"/>
              <w:tr2bl w:val="nil"/>
            </w:tcBorders>
            <w:vAlign w:val="center"/>
          </w:tcPr>
          <w:p w14:paraId="7A5C810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4A22D21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D51D0C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39DC195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172" w:type="dxa"/>
            <w:gridSpan w:val="2"/>
            <w:tcBorders>
              <w:tl2br w:val="nil"/>
              <w:tr2bl w:val="nil"/>
            </w:tcBorders>
            <w:vAlign w:val="center"/>
          </w:tcPr>
          <w:p w14:paraId="5C976DB3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70A5D7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6215" w:type="dxa"/>
            <w:gridSpan w:val="7"/>
            <w:tcBorders>
              <w:tl2br w:val="nil"/>
              <w:tr2bl w:val="nil"/>
            </w:tcBorders>
            <w:vAlign w:val="center"/>
          </w:tcPr>
          <w:p w14:paraId="7FD0DC95">
            <w:pPr>
              <w:pStyle w:val="9"/>
              <w:spacing w:before="130" w:line="230" w:lineRule="auto"/>
              <w:ind w:left="123" w:right="103" w:hanging="4"/>
              <w:jc w:val="lef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fldChar w:fldCharType="begin"/>
            </w:r>
            <w:r>
              <w:rPr>
                <w:rFonts w:hint="eastAsia"/>
                <w:kern w:val="0"/>
                <w:sz w:val="21"/>
                <w:szCs w:val="21"/>
              </w:rPr>
              <w:instrText xml:space="preserve"> HYPERLINK "http://epaper.legaldaily.com.cn/fzrb/content/20250603/Page04TB.htm" </w:instrText>
            </w:r>
            <w:r>
              <w:rPr>
                <w:rFonts w:hint="eastAsia"/>
                <w:kern w:val="0"/>
                <w:sz w:val="21"/>
                <w:szCs w:val="21"/>
              </w:rPr>
              <w:fldChar w:fldCharType="separate"/>
            </w:r>
            <w:r>
              <w:rPr>
                <w:rStyle w:val="7"/>
                <w:rFonts w:hint="eastAsia"/>
                <w:kern w:val="0"/>
                <w:sz w:val="21"/>
                <w:szCs w:val="21"/>
              </w:rPr>
              <w:t>http://epaper.legaldaily.com.cn/fzrb/content/20250603/Page04TB.htm</w:t>
            </w:r>
            <w:r>
              <w:rPr>
                <w:rFonts w:hint="eastAsia"/>
                <w:kern w:val="0"/>
                <w:sz w:val="21"/>
                <w:szCs w:val="21"/>
              </w:rPr>
              <w:fldChar w:fldCharType="end"/>
            </w:r>
          </w:p>
          <w:p w14:paraId="476923E1">
            <w:pPr>
              <w:pStyle w:val="9"/>
              <w:spacing w:before="130" w:line="230" w:lineRule="auto"/>
              <w:ind w:left="123" w:right="103" w:hanging="4"/>
              <w:jc w:val="lef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fldChar w:fldCharType="begin"/>
            </w:r>
            <w:r>
              <w:rPr>
                <w:rFonts w:hint="eastAsia"/>
                <w:kern w:val="0"/>
                <w:sz w:val="21"/>
                <w:szCs w:val="21"/>
              </w:rPr>
              <w:instrText xml:space="preserve"> HYPERLINK "http://epaper.legaldaily.com.cn/fzrb/content/20250716/Page04TB.htm" </w:instrText>
            </w:r>
            <w:r>
              <w:rPr>
                <w:rFonts w:hint="eastAsia"/>
                <w:kern w:val="0"/>
                <w:sz w:val="21"/>
                <w:szCs w:val="21"/>
              </w:rPr>
              <w:fldChar w:fldCharType="separate"/>
            </w:r>
            <w:r>
              <w:rPr>
                <w:rStyle w:val="7"/>
                <w:rFonts w:hint="eastAsia"/>
                <w:kern w:val="0"/>
                <w:sz w:val="21"/>
                <w:szCs w:val="21"/>
              </w:rPr>
              <w:t>http://epaper.legaldaily.com.cn/fzrb/content/20250716/Page04TB.htm</w:t>
            </w:r>
            <w:r>
              <w:rPr>
                <w:rFonts w:hint="eastAsia"/>
                <w:kern w:val="0"/>
                <w:sz w:val="21"/>
                <w:szCs w:val="21"/>
              </w:rPr>
              <w:fldChar w:fldCharType="end"/>
            </w:r>
          </w:p>
          <w:p w14:paraId="53481EDE">
            <w:pPr>
              <w:spacing w:line="280" w:lineRule="exac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fldChar w:fldCharType="begin"/>
            </w:r>
            <w:r>
              <w:rPr>
                <w:rFonts w:hint="eastAsia"/>
                <w:kern w:val="0"/>
                <w:sz w:val="21"/>
                <w:szCs w:val="21"/>
              </w:rPr>
              <w:instrText xml:space="preserve"> HYPERLINK "http://epaper.legaldaily.com.cn/fzrb/content/20250918/Page04TB.htm" </w:instrText>
            </w:r>
            <w:r>
              <w:rPr>
                <w:rFonts w:hint="eastAsia"/>
                <w:kern w:val="0"/>
                <w:sz w:val="21"/>
                <w:szCs w:val="21"/>
              </w:rPr>
              <w:fldChar w:fldCharType="separate"/>
            </w:r>
            <w:r>
              <w:rPr>
                <w:rStyle w:val="7"/>
                <w:rFonts w:hint="eastAsia"/>
                <w:kern w:val="0"/>
                <w:sz w:val="21"/>
                <w:szCs w:val="21"/>
              </w:rPr>
              <w:t>http://epaper.legaldaily.com.cn/fzrb/content/20250918/Page04TB.htm</w:t>
            </w:r>
            <w:r>
              <w:rPr>
                <w:rFonts w:hint="eastAsia"/>
                <w:kern w:val="0"/>
                <w:sz w:val="21"/>
                <w:szCs w:val="21"/>
              </w:rPr>
              <w:fldChar w:fldCharType="end"/>
            </w:r>
          </w:p>
          <w:p w14:paraId="50BB88E3">
            <w:pPr>
              <w:spacing w:line="280" w:lineRule="exact"/>
              <w:rPr>
                <w:rFonts w:hint="eastAsia"/>
                <w:kern w:val="0"/>
                <w:sz w:val="21"/>
                <w:szCs w:val="21"/>
              </w:rPr>
            </w:pPr>
          </w:p>
        </w:tc>
      </w:tr>
      <w:tr w14:paraId="2118B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</w:trPr>
        <w:tc>
          <w:tcPr>
            <w:tcW w:w="830" w:type="dxa"/>
            <w:vMerge w:val="continue"/>
            <w:tcBorders>
              <w:tl2br w:val="nil"/>
              <w:tr2bl w:val="nil"/>
            </w:tcBorders>
            <w:vAlign w:val="center"/>
          </w:tcPr>
          <w:p w14:paraId="017B45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4A190E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6C8F30E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A36422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/>
                <w:kern w:val="0"/>
                <w:sz w:val="21"/>
                <w:lang w:val="en-US" w:eastAsia="zh-CN"/>
              </w:rPr>
              <w:t>10万+</w:t>
            </w:r>
          </w:p>
        </w:tc>
        <w:tc>
          <w:tcPr>
            <w:tcW w:w="8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B98B91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8805D1F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043" w:type="dxa"/>
            <w:gridSpan w:val="3"/>
            <w:tcBorders>
              <w:tl2br w:val="nil"/>
              <w:tr2bl w:val="nil"/>
            </w:tcBorders>
            <w:vAlign w:val="center"/>
          </w:tcPr>
          <w:p w14:paraId="348010F9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2908</w:t>
            </w: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 w14:paraId="790ABB58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vAlign w:val="center"/>
          </w:tcPr>
          <w:p w14:paraId="71A07111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93E5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0" w:hRule="exact"/>
        </w:trPr>
        <w:tc>
          <w:tcPr>
            <w:tcW w:w="830" w:type="dxa"/>
            <w:tcBorders>
              <w:tl2br w:val="nil"/>
              <w:tr2bl w:val="nil"/>
            </w:tcBorders>
            <w:vAlign w:val="center"/>
          </w:tcPr>
          <w:p w14:paraId="78E25546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6FF3BCD4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579339F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611C6E24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03FA297E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0B307E09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7387" w:type="dxa"/>
            <w:gridSpan w:val="9"/>
            <w:tcBorders>
              <w:tl2br w:val="nil"/>
              <w:tr2bl w:val="nil"/>
            </w:tcBorders>
            <w:vAlign w:val="center"/>
          </w:tcPr>
          <w:p w14:paraId="6C13099B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该组报道紧扣国家“保障和改善民生、促进社会公平正义”的政策导向，以高度的社会责任感与人文关怀，聚焦孤独症群体全生命周期的生存与发展困境，是一组具有重大现实意义、深入采访、创新表达且社会效果显著的优秀新闻作品。</w:t>
            </w:r>
          </w:p>
          <w:p w14:paraId="406125E1">
            <w:pPr>
              <w:spacing w:line="360" w:lineRule="auto"/>
              <w:ind w:firstLine="482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1.坚持正确导向，彰显时代主题：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报道紧紧围绕“残疾人权益保障”等议题，聚焦超过1300万人的孤独症群体，通过真实案例展现法治建设与社会治理的进步空间，体现了新闻媒体在推动社会公平、促进弱势群体权益保障中的积极作用。</w:t>
            </w:r>
          </w:p>
          <w:p w14:paraId="32375864">
            <w:pPr>
              <w:spacing w:line="360" w:lineRule="auto"/>
              <w:ind w:firstLine="482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2.深入践行“四力”，采访扎实厚重：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记者历时数月，深入家庭、康复机构、医院、幼儿园等多场景跟踪采访，获取大量一手素材，故事真实细腻、细节丰富有力，体现了新闻工作者扎实的调查功力、敏锐的观察力和深厚的人文情怀。</w:t>
            </w:r>
          </w:p>
          <w:p w14:paraId="6115167C">
            <w:pPr>
              <w:spacing w:line="360" w:lineRule="auto"/>
              <w:ind w:firstLine="482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3.叙事结构完整，表现形式创新：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作品既有情感冲击力，又有理性思辨性，在法治新闻的严肃性中注入人文叙事温度，展现了融媒体时代深度报道的创新表达。</w:t>
            </w:r>
          </w:p>
          <w:p w14:paraId="76384DA5">
            <w:pPr>
              <w:spacing w:line="360" w:lineRule="auto"/>
              <w:ind w:firstLine="482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4.传播效果显著，推动实际工作：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全媒体发布后，单篇微信阅读量均超“10万+”，全网转发互动频繁，形成广泛社会共鸣。报道引起残联、教育、卫健等部门重视，推动部分地区开展调研与政策研讨，体现了深度报道的积极作用。</w:t>
            </w:r>
          </w:p>
          <w:p w14:paraId="464D7521">
            <w:pPr>
              <w:spacing w:line="360" w:lineRule="auto"/>
              <w:ind w:firstLine="482" w:firstLineChars="20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5.体现媒体责任，具有示范意义：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该组报道是主流媒体关注弱势群体、推动制度完善、引导社会理解包容的典型案例，展现了法治媒体在参与社会治理、推动法治进步中的专业担当。</w:t>
            </w:r>
          </w:p>
          <w:p w14:paraId="7EF631CF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5362B31F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1D378E3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660A2713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70F36074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A21B028-E560-4C86-894C-5D8947DC060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2D0EB2D-3B95-4E69-A0D6-C3DB3D2D338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91EC47B-3190-4E52-B81D-B0D982E54FF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7DDF9CB-AB61-430B-9C78-3F32C66B89CB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622F6F31-B760-4003-A26F-38BFCAEF5DA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AAACFE6-697B-4D60-81F7-F081594C4C61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AF5A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E3FFE"/>
    <w:rsid w:val="103E4A53"/>
    <w:rsid w:val="20145C5C"/>
    <w:rsid w:val="291819B2"/>
    <w:rsid w:val="2C5A7AC4"/>
    <w:rsid w:val="33363900"/>
    <w:rsid w:val="4CA94913"/>
    <w:rsid w:val="5A75113F"/>
    <w:rsid w:val="5D250E1A"/>
    <w:rsid w:val="62395EF0"/>
    <w:rsid w:val="70CD2B43"/>
    <w:rsid w:val="70E93440"/>
    <w:rsid w:val="72B00B06"/>
    <w:rsid w:val="73F26870"/>
    <w:rsid w:val="7C0827D5"/>
    <w:rsid w:val="F5FB8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iPriority w:val="0"/>
    <w:rPr>
      <w:color w:val="800080"/>
      <w:u w:val="single"/>
    </w:rPr>
  </w:style>
  <w:style w:type="character" w:styleId="7">
    <w:name w:val="Hyperlink"/>
    <w:basedOn w:val="5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table" w:customStyle="1" w:styleId="8">
    <w:name w:val="Table Normal"/>
    <w:semiHidden/>
    <w:unhideWhenUsed/>
    <w:qFormat/>
    <w:uiPriority w:val="0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1131</Words>
  <Characters>1559</Characters>
  <Lines>0</Lines>
  <Paragraphs>0</Paragraphs>
  <TotalTime>1</TotalTime>
  <ScaleCrop>false</ScaleCrop>
  <LinksUpToDate>false</LinksUpToDate>
  <CharactersWithSpaces>1639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大亨</cp:lastModifiedBy>
  <dcterms:modified xsi:type="dcterms:W3CDTF">2026-04-21T06:00:16Z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eyJoZGlkIjoiOTJkNDY0M2M3M2FlZDU1ZjhlZDdlN2E1ZTA1YmU0NGIiLCJ1c2VySWQiOiIxMDEzODUwNTkzIn0=</vt:lpwstr>
  </property>
  <property fmtid="{D5CDD505-2E9C-101B-9397-08002B2CF9AE}" pid="4" name="ICV">
    <vt:lpwstr>6AE8C20D46CE384C0E33DE69E056B31A_43</vt:lpwstr>
  </property>
</Properties>
</file>